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2004" w:leader="none"/>
        </w:tabs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240" w:before="0" w:after="0"/>
        <w:ind w:left="0" w:right="51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vertAlign w:val="baseline"/>
        </w:rPr>
      </w:pPr>
      <w:bookmarkStart w:id="0" w:name="_heading=h.gjdgxs"/>
      <w:bookmarkEnd w:id="0"/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vertAlign w:val="baseline"/>
        </w:rPr>
        <w:t xml:space="preserve">Procedura aperta per l’affidamento dei servizi assicurativi </w:t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240" w:before="0" w:after="0"/>
        <w:ind w:left="0" w:right="51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319" w:before="0" w:after="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366"/>
          <w:position w:val="0"/>
          <w:sz w:val="28"/>
          <w:sz w:val="28"/>
          <w:szCs w:val="28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3366"/>
          <w:position w:val="0"/>
          <w:sz w:val="28"/>
          <w:sz w:val="28"/>
          <w:szCs w:val="28"/>
          <w:u w:val="none"/>
          <w:vertAlign w:val="baseline"/>
        </w:rPr>
        <w:t>DICHIARAZIONE DI ACCETTAZIONE CAPITOLATO E INDICAZIONI OPZIONI MIGLIORATIVE</w:t>
      </w:r>
    </w:p>
    <w:p>
      <w:pPr>
        <w:pStyle w:val="Normal"/>
        <w:shd w:fill="FFFFFF" w:val="clear"/>
        <w:spacing w:lineRule="auto" w:line="319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ai sensi degli artt. 46 e 47 del D.P.R. n. 445/2000</w:t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319" w:before="0" w:after="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(da inserire nella busta "offerta tecnica")</w:t>
      </w:r>
    </w:p>
    <w:p>
      <w:pPr>
        <w:pStyle w:val="Titoloprincipale"/>
        <w:spacing w:lineRule="auto" w:line="199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Titoloprincipale"/>
        <w:spacing w:lineRule="auto" w:line="199"/>
        <w:rPr>
          <w:rFonts w:ascii="Arial" w:hAnsi="Arial" w:eastAsia="Arial" w:cs="Arial"/>
          <w:sz w:val="20"/>
          <w:szCs w:val="20"/>
          <w:highlight w:val="white"/>
        </w:rPr>
      </w:pPr>
      <w:r>
        <w:rPr>
          <w:rFonts w:eastAsia="Arial" w:cs="Arial" w:ascii="Arial" w:hAnsi="Arial"/>
          <w:sz w:val="20"/>
          <w:szCs w:val="20"/>
          <w:highlight w:val="white"/>
        </w:rPr>
      </w:r>
    </w:p>
    <w:p>
      <w:pPr>
        <w:pStyle w:val="Titoloprincipale"/>
        <w:rPr>
          <w:rFonts w:ascii="Arial" w:hAnsi="Arial" w:eastAsia="Arial" w:cs="Arial"/>
          <w:b w:val="false"/>
          <w:b w:val="false"/>
          <w:sz w:val="20"/>
          <w:szCs w:val="20"/>
          <w:highlight w:val="white"/>
          <w:u w:val="none"/>
        </w:rPr>
      </w:pPr>
      <w:r>
        <w:rPr>
          <w:rFonts w:eastAsia="Arial" w:cs="Arial" w:ascii="Arial" w:hAnsi="Arial"/>
          <w:b w:val="false"/>
          <w:sz w:val="20"/>
          <w:szCs w:val="20"/>
          <w:highlight w:val="white"/>
          <w:u w:val="none"/>
        </w:rPr>
        <w:t>CIG 9036514F3E</w:t>
      </w:r>
    </w:p>
    <w:p>
      <w:pPr>
        <w:pStyle w:val="Normal"/>
        <w:ind w:left="0" w:right="0" w:hanging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ind w:left="0" w:right="0" w:hanging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9778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8575"/>
      </w:tblGrid>
      <w:tr>
        <w:trPr>
          <w:trHeight w:val="63" w:hRule="atLeast"/>
        </w:trPr>
        <w:tc>
          <w:tcPr>
            <w:tcW w:w="1203" w:type="dxa"/>
            <w:tcBorders/>
            <w:shd w:fill="auto" w:val="clear"/>
          </w:tcPr>
          <w:p>
            <w:pPr>
              <w:pStyle w:val="Normal"/>
              <w:spacing w:before="0" w:after="200"/>
              <w:ind w:left="0" w:right="0" w:hanging="0"/>
              <w:rPr>
                <w:b/>
                <w:b/>
              </w:rPr>
            </w:pPr>
            <w:r>
              <w:rPr>
                <w:b/>
              </w:rPr>
              <w:t>Oggetto:</w:t>
            </w:r>
          </w:p>
        </w:tc>
        <w:tc>
          <w:tcPr>
            <w:tcW w:w="8575" w:type="dxa"/>
            <w:tcBorders/>
            <w:shd w:fill="auto" w:val="clear"/>
          </w:tcPr>
          <w:p>
            <w:pPr>
              <w:pStyle w:val="Normal"/>
              <w:spacing w:before="0" w:after="200"/>
              <w:ind w:left="0" w:right="0" w:hanging="0"/>
              <w:rPr/>
            </w:pPr>
            <w:bookmarkStart w:id="1" w:name="_heading=h.1fob9te"/>
            <w:bookmarkEnd w:id="1"/>
            <w:r>
              <w:rPr>
                <w:b/>
              </w:rPr>
              <w:t xml:space="preserve">Offerta tecnica per l’affidamento dei servizi assicurativi – </w:t>
            </w:r>
            <w:r>
              <w:rPr>
                <w:b/>
                <w:sz w:val="28"/>
                <w:szCs w:val="28"/>
              </w:rPr>
              <w:t xml:space="preserve">Lotto n. 3 Sezione A e B </w:t>
            </w:r>
            <w:r>
              <w:rPr>
                <w:b/>
              </w:rPr>
              <w:t xml:space="preserve"> – RCA-CVT Veicoli Arpae e GEV</w:t>
            </w:r>
          </w:p>
        </w:tc>
      </w:tr>
    </w:tbl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Il/la sottoscritto/a 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Nato/a _______________________________________________________________ il ________________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Residente in ____________________________ Via/Piazza ______________________________ n. ______ 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Codice fiscale 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qualità di legale rappresentante / procuratore fornito dei poteri necessari dell’impresa offerente ______________________________________________________________________________________</w:t>
      </w:r>
    </w:p>
    <w:p>
      <w:pPr>
        <w:pStyle w:val="Titolo1"/>
        <w:spacing w:lineRule="auto" w:line="319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Titolo1"/>
        <w:spacing w:lineRule="auto" w:line="218"/>
        <w:ind w:left="0" w:right="0" w:hanging="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>DICHIARA</w:t>
      </w:r>
    </w:p>
    <w:p>
      <w:pPr>
        <w:pStyle w:val="Normal"/>
        <w:widowControl/>
        <w:spacing w:lineRule="auto" w:line="259" w:before="120" w:after="0"/>
        <w:jc w:val="both"/>
        <w:rPr/>
      </w:pPr>
      <w:r>
        <w:rPr/>
        <w:t xml:space="preserve">di accettare integralmente </w:t>
      </w:r>
      <w:r>
        <w:rPr>
          <w:b/>
        </w:rPr>
        <w:t>senza alcuna riserva, né restrizione</w:t>
      </w:r>
      <w:r>
        <w:rPr/>
        <w:t xml:space="preserve"> tutte le clausole e le condizioni previste dal Capitolato Speciale</w:t>
      </w:r>
    </w:p>
    <w:p>
      <w:pPr>
        <w:pStyle w:val="Normal"/>
        <w:spacing w:lineRule="auto" w:line="259" w:before="16" w:after="0"/>
        <w:rPr/>
      </w:pPr>
      <w:r>
        <w:rPr/>
      </w:r>
    </w:p>
    <w:p>
      <w:pPr>
        <w:pStyle w:val="Normal"/>
        <w:spacing w:lineRule="auto" w:line="240" w:before="0" w:after="0"/>
        <w:ind w:left="116" w:right="60" w:hanging="0"/>
        <w:rPr>
          <w:b/>
          <w:b/>
        </w:rPr>
      </w:pPr>
      <w:r>
        <w:rPr>
          <w:b/>
        </w:rPr>
        <w:t>N.B. All'integrale accettazione delle condizioni del capitolato di assicurazione (assenza di opzione per qualsiasi variante) sono assegnati punti 0 ( zero).</w:t>
      </w:r>
    </w:p>
    <w:p>
      <w:pPr>
        <w:pStyle w:val="Normal"/>
        <w:tabs>
          <w:tab w:val="left" w:pos="2004" w:leader="none"/>
        </w:tabs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left" w:pos="2004" w:leader="none"/>
        </w:tabs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0" w:right="-20" w:hanging="0"/>
        <w:jc w:val="center"/>
        <w:rPr>
          <w:rFonts w:ascii="Arial" w:hAnsi="Arial" w:eastAsia="Arial" w:cs="Arial"/>
          <w:b/>
          <w:b/>
          <w:sz w:val="24"/>
          <w:szCs w:val="24"/>
        </w:rPr>
      </w:pPr>
      <w:bookmarkStart w:id="2" w:name="_heading=h.3znysh7"/>
      <w:bookmarkEnd w:id="2"/>
      <w:r>
        <w:rPr>
          <w:rFonts w:eastAsia="Arial" w:cs="Arial" w:ascii="Arial" w:hAnsi="Arial"/>
          <w:b/>
          <w:sz w:val="24"/>
          <w:szCs w:val="24"/>
        </w:rPr>
        <w:t>Varianti: punteggio massimo 70 punti – Barrare l’opzione prescelta</w:t>
      </w:r>
    </w:p>
    <w:p>
      <w:pPr>
        <w:pStyle w:val="Normal"/>
        <w:tabs>
          <w:tab w:val="left" w:pos="2004" w:leader="none"/>
        </w:tabs>
        <w:spacing w:lineRule="auto" w:line="240" w:before="0" w:after="0"/>
        <w:rPr>
          <w:sz w:val="28"/>
          <w:szCs w:val="28"/>
        </w:rPr>
      </w:pPr>
      <w:bookmarkStart w:id="3" w:name="_heading=h.2et92p0"/>
      <w:bookmarkStart w:id="4" w:name="_heading=h.2et92p0"/>
      <w:bookmarkEnd w:id="4"/>
      <w:r>
        <w:rPr>
          <w:sz w:val="28"/>
          <w:szCs w:val="28"/>
        </w:rPr>
      </w:r>
    </w:p>
    <w:tbl>
      <w:tblPr>
        <w:tblW w:w="7974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719"/>
        <w:gridCol w:w="4782"/>
        <w:gridCol w:w="1473"/>
      </w:tblGrid>
      <w:tr>
        <w:trPr>
          <w:trHeight w:val="285" w:hRule="atLeast"/>
        </w:trPr>
        <w:tc>
          <w:tcPr>
            <w:tcW w:w="7974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-20" w:hanging="0"/>
              <w:rPr>
                <w:b/>
                <w:b/>
              </w:rPr>
            </w:pPr>
            <w:r>
              <w:rPr>
                <w:b/>
              </w:rPr>
              <w:t>Variante n. 1</w:t>
            </w:r>
          </w:p>
        </w:tc>
      </w:tr>
      <w:tr>
        <w:trPr>
          <w:trHeight w:val="562" w:hRule="atLeast"/>
        </w:trPr>
        <w:tc>
          <w:tcPr>
            <w:tcW w:w="17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1" w:right="-20" w:hanging="0"/>
              <w:jc w:val="center"/>
              <w:rPr>
                <w:b/>
                <w:b/>
              </w:rPr>
            </w:pPr>
            <w:r>
              <w:rPr>
                <w:b/>
              </w:rPr>
              <w:t>Aumento dei massimali (art. 6.1 del capitolato)</w:t>
            </w:r>
          </w:p>
        </w:tc>
        <w:tc>
          <w:tcPr>
            <w:tcW w:w="147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8" w:right="-20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770" w:hRule="atLeast"/>
        </w:trPr>
        <w:tc>
          <w:tcPr>
            <w:tcW w:w="17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86" w:hanging="0"/>
              <w:jc w:val="center"/>
              <w:rPr>
                <w:i/>
                <w:i/>
              </w:rPr>
            </w:pPr>
            <w:r>
              <w:rPr>
                <w:i/>
              </w:rPr>
              <w:t>per ogni veicolo assicurato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2"/>
              </w:numPr>
              <w:pBdr/>
              <w:spacing w:lineRule="auto" w:line="240" w:before="0" w:after="0"/>
              <w:ind w:left="447" w:right="86" w:hanging="284"/>
              <w:jc w:val="center"/>
              <w:rPr>
                <w:rFonts w:ascii="Calibri" w:hAnsi="Calibri" w:eastAsia="Calibri" w:cs="Calibri"/>
                <w:b w:val="false"/>
                <w:b w:val="false"/>
                <w:i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€ </w:t>
            </w:r>
            <w:r>
              <w:rPr>
                <w:rFonts w:eastAsia="Calibri" w:cs="Calibri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10.000.000,00;</w:t>
            </w:r>
          </w:p>
        </w:tc>
        <w:tc>
          <w:tcPr>
            <w:tcW w:w="147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200" w:leader="none"/>
              </w:tabs>
              <w:spacing w:lineRule="auto" w:line="240" w:before="0" w:after="0"/>
              <w:ind w:left="-84" w:right="0" w:hanging="0"/>
              <w:jc w:val="center"/>
              <w:rPr>
                <w:i/>
                <w:i/>
              </w:rPr>
            </w:pPr>
            <w:r>
              <w:rPr>
                <w:i/>
              </w:rPr>
              <w:t>0</w:t>
            </w:r>
          </w:p>
        </w:tc>
      </w:tr>
      <w:tr>
        <w:trPr>
          <w:trHeight w:val="853" w:hRule="atLeast"/>
        </w:trPr>
        <w:tc>
          <w:tcPr>
            <w:tcW w:w="17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86" w:hanging="0"/>
              <w:jc w:val="center"/>
              <w:rPr>
                <w:i/>
                <w:i/>
              </w:rPr>
            </w:pPr>
            <w:r>
              <w:rPr>
                <w:i/>
              </w:rPr>
              <w:t>per ogni veicolo assicurato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2"/>
              </w:numPr>
              <w:pBdr/>
              <w:spacing w:lineRule="auto" w:line="240" w:before="0" w:after="0"/>
              <w:ind w:left="447" w:right="86" w:hanging="284"/>
              <w:jc w:val="center"/>
              <w:rPr>
                <w:rFonts w:ascii="Calibri" w:hAnsi="Calibri" w:eastAsia="Calibri" w:cs="Calibri"/>
                <w:b w:val="false"/>
                <w:b w:val="false"/>
                <w:i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€ </w:t>
            </w:r>
            <w:r>
              <w:rPr>
                <w:rFonts w:eastAsia="Calibri" w:cs="Calibri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15.000.000,00;</w:t>
            </w:r>
          </w:p>
        </w:tc>
        <w:tc>
          <w:tcPr>
            <w:tcW w:w="147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8" w:right="282" w:hanging="0"/>
              <w:jc w:val="center"/>
              <w:rPr/>
            </w:pPr>
            <w:r>
              <w:rPr/>
              <w:t>10</w:t>
            </w:r>
          </w:p>
        </w:tc>
      </w:tr>
      <w:tr>
        <w:trPr>
          <w:trHeight w:val="853" w:hRule="atLeast"/>
        </w:trPr>
        <w:tc>
          <w:tcPr>
            <w:tcW w:w="17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86" w:hanging="0"/>
              <w:jc w:val="center"/>
              <w:rPr>
                <w:i/>
                <w:i/>
              </w:rPr>
            </w:pPr>
            <w:r>
              <w:rPr>
                <w:i/>
              </w:rPr>
              <w:t>per ogni veicolo assicurato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2"/>
              </w:numPr>
              <w:pBdr/>
              <w:spacing w:lineRule="auto" w:line="240" w:before="0" w:after="0"/>
              <w:ind w:left="447" w:right="86" w:hanging="284"/>
              <w:jc w:val="center"/>
              <w:rPr>
                <w:rFonts w:ascii="Calibri" w:hAnsi="Calibri" w:eastAsia="Calibri" w:cs="Calibri"/>
                <w:b w:val="false"/>
                <w:b w:val="false"/>
                <w:i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€ </w:t>
            </w:r>
            <w:r>
              <w:rPr>
                <w:rFonts w:eastAsia="Calibri" w:cs="Calibri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25.000.000,00;</w:t>
            </w:r>
          </w:p>
        </w:tc>
        <w:tc>
          <w:tcPr>
            <w:tcW w:w="147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8" w:right="282" w:hanging="0"/>
              <w:jc w:val="center"/>
              <w:rPr/>
            </w:pPr>
            <w:r>
              <w:rPr/>
              <w:t>25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7984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718"/>
        <w:gridCol w:w="4782"/>
        <w:gridCol w:w="1484"/>
      </w:tblGrid>
      <w:tr>
        <w:trPr>
          <w:trHeight w:val="285" w:hRule="atLeast"/>
        </w:trPr>
        <w:tc>
          <w:tcPr>
            <w:tcW w:w="7984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-20" w:hanging="0"/>
              <w:rPr>
                <w:b/>
                <w:b/>
              </w:rPr>
            </w:pPr>
            <w:r>
              <w:rPr>
                <w:b/>
              </w:rPr>
              <w:t>Variante n. 2</w:t>
            </w:r>
          </w:p>
        </w:tc>
      </w:tr>
      <w:tr>
        <w:trPr>
          <w:trHeight w:val="817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1" w:right="-20" w:hanging="0"/>
              <w:jc w:val="center"/>
              <w:rPr>
                <w:b/>
                <w:b/>
              </w:rPr>
            </w:pPr>
            <w:r>
              <w:rPr>
                <w:b/>
              </w:rPr>
              <w:t>Limite risarcimento art 3.5) Ricorso terzi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8" w:right="140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721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26" w:hanging="0"/>
              <w:jc w:val="center"/>
              <w:rPr>
                <w:i/>
                <w:i/>
              </w:rPr>
            </w:pPr>
            <w:r>
              <w:rPr>
                <w:i/>
              </w:rPr>
              <w:t xml:space="preserve">€ </w:t>
            </w:r>
            <w:r>
              <w:rPr>
                <w:i/>
              </w:rPr>
              <w:t>500.000,00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625" w:leader="none"/>
              </w:tabs>
              <w:spacing w:lineRule="auto" w:line="240" w:before="0" w:after="0"/>
              <w:ind w:left="45" w:right="140" w:hanging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721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26" w:hanging="0"/>
              <w:jc w:val="center"/>
              <w:rPr/>
            </w:pPr>
            <w:r>
              <w:rPr/>
              <w:t xml:space="preserve">€ </w:t>
            </w:r>
            <w:r>
              <w:rPr/>
              <w:t>1.000.000,00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625" w:leader="none"/>
              </w:tabs>
              <w:spacing w:lineRule="auto" w:line="240" w:before="0" w:after="0"/>
              <w:ind w:left="45" w:right="140" w:hanging="0"/>
              <w:jc w:val="center"/>
              <w:rPr/>
            </w:pPr>
            <w:r>
              <w:rPr/>
              <w:t>5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7984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718"/>
        <w:gridCol w:w="4782"/>
        <w:gridCol w:w="1484"/>
      </w:tblGrid>
      <w:tr>
        <w:trPr>
          <w:trHeight w:val="285" w:hRule="atLeast"/>
        </w:trPr>
        <w:tc>
          <w:tcPr>
            <w:tcW w:w="7984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-20" w:hanging="0"/>
              <w:rPr>
                <w:b/>
                <w:b/>
              </w:rPr>
            </w:pPr>
            <w:r>
              <w:rPr>
                <w:b/>
              </w:rPr>
              <w:t>Variante n. 3</w:t>
            </w:r>
          </w:p>
          <w:p>
            <w:pPr>
              <w:pStyle w:val="Normal"/>
              <w:spacing w:lineRule="auto" w:line="240" w:before="0" w:after="0"/>
              <w:ind w:left="103" w:right="-20" w:hanging="0"/>
              <w:jc w:val="center"/>
              <w:rPr/>
            </w:pPr>
            <w:r>
              <w:rPr/>
              <w:t>3</w:t>
            </w:r>
          </w:p>
        </w:tc>
      </w:tr>
      <w:tr>
        <w:trPr>
          <w:trHeight w:val="817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1" w:right="226" w:hanging="0"/>
              <w:jc w:val="center"/>
              <w:rPr>
                <w:b/>
                <w:b/>
              </w:rPr>
            </w:pPr>
            <w:r>
              <w:rPr>
                <w:b/>
              </w:rPr>
              <w:t>Limite risarcimento Art. 3.8) Rottura Cristalli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8" w:right="140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721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26" w:hanging="0"/>
              <w:jc w:val="center"/>
              <w:rPr/>
            </w:pPr>
            <w:r>
              <w:rPr/>
              <w:t xml:space="preserve">€ </w:t>
            </w:r>
            <w:r>
              <w:rPr/>
              <w:t>1.000,00 e €1.500,00 in strutture convenzionate</w:t>
            </w:r>
            <w:r>
              <w:rPr>
                <w:i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625" w:leader="none"/>
              </w:tabs>
              <w:spacing w:lineRule="auto" w:line="240" w:before="0" w:after="0"/>
              <w:ind w:left="45" w:right="140" w:hanging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721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9" w:right="122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1" w:right="226" w:hanging="0"/>
              <w:jc w:val="center"/>
              <w:rPr/>
            </w:pPr>
            <w:r>
              <w:rPr/>
              <w:t xml:space="preserve">€ </w:t>
            </w:r>
            <w:r>
              <w:rPr/>
              <w:t>1.500,00 e € 2.000,00 in strutture convenzionate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200" w:right="140" w:hanging="0"/>
              <w:jc w:val="center"/>
              <w:rPr/>
            </w:pPr>
            <w:r>
              <w:rPr/>
              <w:t>5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7984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718"/>
        <w:gridCol w:w="4782"/>
        <w:gridCol w:w="1484"/>
      </w:tblGrid>
      <w:tr>
        <w:trPr>
          <w:trHeight w:val="285" w:hRule="atLeast"/>
        </w:trPr>
        <w:tc>
          <w:tcPr>
            <w:tcW w:w="7984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-20" w:hanging="0"/>
              <w:rPr>
                <w:b/>
                <w:b/>
              </w:rPr>
            </w:pPr>
            <w:r>
              <w:rPr>
                <w:b/>
              </w:rPr>
              <w:t>Variante n. 4</w:t>
            </w:r>
          </w:p>
        </w:tc>
      </w:tr>
      <w:tr>
        <w:trPr>
          <w:trHeight w:val="968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9" w:right="122" w:hanging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226" w:hanging="0"/>
              <w:jc w:val="center"/>
              <w:rPr>
                <w:b/>
                <w:b/>
              </w:rPr>
            </w:pPr>
            <w:r>
              <w:rPr>
                <w:b/>
              </w:rPr>
              <w:t>Limite risarcimento Art. 3.9) Ripristino Airbag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205" w:right="282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579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57" w:right="122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81" w:hanging="0"/>
              <w:jc w:val="center"/>
              <w:rPr>
                <w:i/>
                <w:i/>
              </w:rPr>
            </w:pPr>
            <w:r>
              <w:rPr>
                <w:i/>
              </w:rPr>
              <w:t xml:space="preserve">€ </w:t>
            </w:r>
            <w:r>
              <w:rPr>
                <w:i/>
              </w:rPr>
              <w:t>1.500,00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609" w:right="609" w:hanging="0"/>
              <w:jc w:val="center"/>
              <w:rPr>
                <w:i/>
                <w:i/>
              </w:rPr>
            </w:pPr>
            <w:r>
              <w:rPr>
                <w:i/>
              </w:rPr>
              <w:t>0</w:t>
            </w:r>
          </w:p>
        </w:tc>
      </w:tr>
      <w:tr>
        <w:trPr>
          <w:trHeight w:val="433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122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81" w:hanging="0"/>
              <w:jc w:val="center"/>
              <w:rPr>
                <w:i/>
                <w:i/>
              </w:rPr>
            </w:pPr>
            <w:r>
              <w:rPr>
                <w:i/>
              </w:rPr>
              <w:t xml:space="preserve">€ </w:t>
            </w:r>
            <w:r>
              <w:rPr>
                <w:i/>
              </w:rPr>
              <w:t>2.000,00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611" w:right="587" w:hanging="0"/>
              <w:jc w:val="center"/>
              <w:rPr/>
            </w:pPr>
            <w:r>
              <w:rPr/>
              <w:t>5</w:t>
            </w:r>
          </w:p>
        </w:tc>
      </w:tr>
      <w:tr>
        <w:trPr>
          <w:trHeight w:val="556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122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B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81" w:hanging="0"/>
              <w:jc w:val="center"/>
              <w:rPr>
                <w:i/>
                <w:i/>
              </w:rPr>
            </w:pPr>
            <w:r>
              <w:rPr>
                <w:i/>
              </w:rPr>
              <w:t xml:space="preserve">€ </w:t>
            </w:r>
            <w:r>
              <w:rPr>
                <w:i/>
              </w:rPr>
              <w:t>3.000,00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611" w:right="587" w:hanging="0"/>
              <w:jc w:val="center"/>
              <w:rPr/>
            </w:pPr>
            <w:r>
              <w:rPr/>
              <w:t>5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7984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718"/>
        <w:gridCol w:w="4782"/>
        <w:gridCol w:w="1484"/>
      </w:tblGrid>
      <w:tr>
        <w:trPr>
          <w:trHeight w:val="285" w:hRule="atLeast"/>
        </w:trPr>
        <w:tc>
          <w:tcPr>
            <w:tcW w:w="7984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-20" w:hanging="0"/>
              <w:rPr>
                <w:b/>
                <w:b/>
              </w:rPr>
            </w:pPr>
            <w:r>
              <w:rPr>
                <w:b/>
              </w:rPr>
              <w:t>Variante n. 5</w:t>
            </w:r>
          </w:p>
        </w:tc>
      </w:tr>
      <w:tr>
        <w:trPr>
          <w:trHeight w:val="817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9" w:right="122" w:hanging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1" w:right="226" w:hanging="0"/>
              <w:jc w:val="center"/>
              <w:rPr>
                <w:b/>
                <w:b/>
              </w:rPr>
            </w:pPr>
            <w:r>
              <w:rPr>
                <w:b/>
              </w:rPr>
              <w:t>Limite risarcimento 3.12 Traino, recupero e trasporto del veicolo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200" w:right="140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721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9" w:right="122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1" w:right="226" w:hanging="0"/>
              <w:jc w:val="center"/>
              <w:rPr/>
            </w:pPr>
            <w:r>
              <w:rPr/>
              <w:t xml:space="preserve">€ </w:t>
            </w:r>
            <w:r>
              <w:rPr/>
              <w:t>1.000,00 e €1.500,00 in strutture convenzionate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200" w:right="140" w:hanging="0"/>
              <w:jc w:val="center"/>
              <w:rPr>
                <w:i/>
                <w:i/>
              </w:rPr>
            </w:pPr>
            <w:r>
              <w:rPr>
                <w:i/>
              </w:rPr>
              <w:t>0</w:t>
            </w:r>
          </w:p>
        </w:tc>
      </w:tr>
      <w:tr>
        <w:trPr>
          <w:trHeight w:val="553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9" w:right="122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1" w:right="226" w:hanging="0"/>
              <w:jc w:val="center"/>
              <w:rPr/>
            </w:pPr>
            <w:r>
              <w:rPr/>
              <w:t xml:space="preserve">€ </w:t>
            </w:r>
            <w:r>
              <w:rPr/>
              <w:t>1.500,00 e € 2.000,00 in strutture convenzionate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200" w:right="140" w:hanging="0"/>
              <w:jc w:val="center"/>
              <w:rPr/>
            </w:pPr>
            <w:r>
              <w:rPr/>
              <w:t>5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7984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718"/>
        <w:gridCol w:w="4782"/>
        <w:gridCol w:w="1484"/>
      </w:tblGrid>
      <w:tr>
        <w:trPr>
          <w:trHeight w:val="285" w:hRule="atLeast"/>
        </w:trPr>
        <w:tc>
          <w:tcPr>
            <w:tcW w:w="7984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-20" w:hanging="0"/>
              <w:rPr>
                <w:b/>
                <w:b/>
              </w:rPr>
            </w:pPr>
            <w:r>
              <w:rPr>
                <w:b/>
              </w:rPr>
              <w:t>Variante n. 6</w:t>
            </w:r>
          </w:p>
        </w:tc>
      </w:tr>
      <w:tr>
        <w:trPr>
          <w:trHeight w:val="824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9" w:right="264" w:hanging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1" w:right="226" w:hanging="0"/>
              <w:jc w:val="center"/>
              <w:rPr>
                <w:b/>
                <w:b/>
              </w:rPr>
            </w:pPr>
            <w:r>
              <w:rPr>
                <w:b/>
              </w:rPr>
              <w:t>FRANCHIGIA per Eventi Sociopolitici Eventi Atmosferici e diversi e Kasko 4.1 e 5.1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8" w:right="140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708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9" w:right="264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81" w:hanging="0"/>
              <w:jc w:val="center"/>
              <w:rPr>
                <w:i/>
                <w:i/>
              </w:rPr>
            </w:pPr>
            <w:r>
              <w:rPr>
                <w:i/>
              </w:rPr>
              <w:t xml:space="preserve">€ </w:t>
            </w:r>
            <w:r>
              <w:rPr>
                <w:i/>
              </w:rPr>
              <w:t>250,00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8" w:right="140" w:hanging="0"/>
              <w:jc w:val="center"/>
              <w:rPr>
                <w:i/>
                <w:i/>
              </w:rPr>
            </w:pPr>
            <w:r>
              <w:rPr>
                <w:i/>
              </w:rPr>
              <w:t>0</w:t>
            </w:r>
          </w:p>
        </w:tc>
      </w:tr>
      <w:tr>
        <w:trPr>
          <w:trHeight w:val="576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9" w:right="264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81" w:hanging="0"/>
              <w:jc w:val="center"/>
              <w:rPr>
                <w:i/>
                <w:i/>
              </w:rPr>
            </w:pPr>
            <w:r>
              <w:rPr>
                <w:i/>
              </w:rPr>
              <w:t xml:space="preserve">€ </w:t>
            </w:r>
            <w:r>
              <w:rPr>
                <w:i/>
              </w:rPr>
              <w:t>100,00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8" w:right="140" w:hanging="0"/>
              <w:jc w:val="center"/>
              <w:rPr/>
            </w:pPr>
            <w:r>
              <w:rPr/>
              <w:t>15</w:t>
            </w:r>
          </w:p>
        </w:tc>
      </w:tr>
      <w:tr>
        <w:trPr>
          <w:trHeight w:val="556" w:hRule="atLeast"/>
        </w:trPr>
        <w:tc>
          <w:tcPr>
            <w:tcW w:w="17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9" w:right="264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B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81" w:hanging="0"/>
              <w:jc w:val="center"/>
              <w:rPr>
                <w:i/>
                <w:i/>
              </w:rPr>
            </w:pPr>
            <w:r>
              <w:rPr>
                <w:i/>
              </w:rPr>
              <w:t xml:space="preserve">€ </w:t>
            </w:r>
            <w:r>
              <w:rPr>
                <w:i/>
              </w:rPr>
              <w:t>0,00</w:t>
            </w:r>
          </w:p>
        </w:tc>
        <w:tc>
          <w:tcPr>
            <w:tcW w:w="148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8" w:right="140" w:hanging="0"/>
              <w:jc w:val="center"/>
              <w:rPr/>
            </w:pPr>
            <w:r>
              <w:rPr/>
              <w:t>25</w:t>
            </w:r>
          </w:p>
        </w:tc>
      </w:tr>
    </w:tbl>
    <w:p>
      <w:pPr>
        <w:pStyle w:val="Normal"/>
        <w:spacing w:lineRule="auto" w:line="199" w:before="0" w:after="0"/>
        <w:rPr>
          <w:rFonts w:ascii="Arial" w:hAnsi="Arial" w:eastAsia="Arial" w:cs="Arial"/>
          <w:sz w:val="20"/>
          <w:szCs w:val="20"/>
        </w:rPr>
      </w:pPr>
      <w:bookmarkStart w:id="5" w:name="_heading=h.tyjcwt"/>
      <w:bookmarkStart w:id="6" w:name="_heading=h.tyjcwt"/>
      <w:bookmarkEnd w:id="6"/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99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99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110" w:right="3304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Data ..........................................                                                     Firma digitale</w:t>
      </w:r>
    </w:p>
    <w:p>
      <w:pPr>
        <w:pStyle w:val="Normal"/>
        <w:spacing w:lineRule="auto" w:line="108" w:before="6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5090" w:right="-20" w:hanging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..............................................................................</w:t>
      </w:r>
    </w:p>
    <w:p>
      <w:pPr>
        <w:pStyle w:val="Normal"/>
        <w:spacing w:lineRule="auto" w:line="12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2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2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2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2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2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2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2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2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2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2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110" w:right="48"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N.B. In caso di coassicurazione, di raggruppamento temporaneo o di consorzio ordinario non ancora costituiti, il presente Modulo dovrà essere compilato e sottoscritto dai rappresentanti legali di tutte le imprese partecipanti in caso contrario non verrà attribuito nessun punteggio all’offerta tecnica</w:t>
      </w:r>
    </w:p>
    <w:p>
      <w:pPr>
        <w:pStyle w:val="Normal"/>
        <w:spacing w:lineRule="auto" w:line="271" w:before="0" w:after="0"/>
        <w:ind w:left="110" w:right="309" w:hanging="0"/>
        <w:jc w:val="both"/>
        <w:rPr>
          <w:rFonts w:ascii="Arial" w:hAnsi="Arial" w:eastAsia="Arial" w:cs="Arial"/>
          <w:position w:val="0"/>
          <w:sz w:val="20"/>
          <w:sz w:val="20"/>
          <w:szCs w:val="20"/>
          <w:u w:val="single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u w:val="single"/>
          <w:vertAlign w:val="baseline"/>
        </w:rPr>
        <w:t xml:space="preserve">                                                                </w:t>
      </w:r>
    </w:p>
    <w:sectPr>
      <w:headerReference w:type="default" r:id="rId2"/>
      <w:type w:val="nextPage"/>
      <w:pgSz w:w="11906" w:h="16838"/>
      <w:pgMar w:left="740" w:right="740" w:header="751" w:top="851" w:footer="0" w:bottom="709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auto"/>
    <w:pitch w:val="default"/>
  </w:font>
  <w:font w:name="Courier New">
    <w:charset w:val="01"/>
    <w:family w:val="auto"/>
    <w:pitch w:val="default"/>
  </w:font>
  <w:font w:name="Noto Sans Symbols"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2004" w:leader="none"/>
      </w:tabs>
      <w:spacing w:lineRule="auto" w:line="240" w:before="0" w:after="0"/>
      <w:jc w:val="center"/>
      <w:rPr/>
    </w:pPr>
    <w:r>
      <w:rPr/>
      <w:t>Allegato 2C</w:t>
    </w:r>
    <w:r>
      <w:rPr>
        <w:rFonts w:eastAsia="Arial" w:cs="Arial" w:ascii="Arial" w:hAnsi="Arial"/>
        <w:sz w:val="20"/>
        <w:szCs w:val="20"/>
      </w:rPr>
      <w:t xml:space="preserve">  - Modello Offerta Tecnica</w:t>
      <w:tab/>
      <w:t>Lotto 3 RCA-CVT e rischi accessori veicoli dell’Ente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2"/>
        <w:b w:val="false"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rFonts w:cs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1">
    <w:name w:val="Heading 1"/>
    <w:basedOn w:val="Normal"/>
    <w:next w:val="Normal"/>
    <w:qFormat/>
    <w:pPr>
      <w:keepNext w:val="true"/>
      <w:widowControl/>
      <w:numPr>
        <w:ilvl w:val="0"/>
        <w:numId w:val="0"/>
      </w:numPr>
      <w:spacing w:lineRule="auto" w:line="240" w:before="0" w:after="0"/>
      <w:ind w:left="0" w:right="-1" w:hanging="0"/>
      <w:jc w:val="center"/>
      <w:outlineLvl w:val="0"/>
    </w:pPr>
    <w:rPr>
      <w:rFonts w:ascii="Times New Roman" w:hAnsi="Times New Roman" w:eastAsia="Times New Roman" w:cs="Times New Roman"/>
      <w:b/>
      <w:sz w:val="24"/>
      <w:szCs w:val="20"/>
      <w:lang w:val="it-IT" w:eastAsia="it-IT"/>
    </w:rPr>
  </w:style>
  <w:style w:type="paragraph" w:styleId="Titolo2">
    <w:name w:val="Heading 2"/>
    <w:basedOn w:val="Normal1"/>
    <w:next w:val="Normal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>
    <w:name w:val="Default Paragraph Font"/>
    <w:qFormat/>
    <w:rPr/>
  </w:style>
  <w:style w:type="character" w:styleId="IntestazioneCarattere">
    <w:name w:val="Intestazione Carattere"/>
    <w:basedOn w:val="DefaultParagraphFont"/>
    <w:qFormat/>
    <w:rPr/>
  </w:style>
  <w:style w:type="character" w:styleId="PidipaginaCarattere">
    <w:name w:val="Piè di pagina Carattere"/>
    <w:basedOn w:val="DefaultParagraphFont"/>
    <w:qFormat/>
    <w:rPr/>
  </w:style>
  <w:style w:type="character" w:styleId="TestofumettoCarattere">
    <w:name w:val="Testo fumetto Carattere"/>
    <w:basedOn w:val="DefaultParagraphFont"/>
    <w:qFormat/>
    <w:rPr>
      <w:rFonts w:ascii="Segoe UI" w:hAnsi="Segoe UI" w:cs="Segoe UI"/>
      <w:sz w:val="18"/>
      <w:szCs w:val="18"/>
    </w:rPr>
  </w:style>
  <w:style w:type="character" w:styleId="Titolo1Carattere">
    <w:name w:val="Titolo 1 Carattere"/>
    <w:basedOn w:val="DefaultParagraphFont"/>
    <w:qFormat/>
    <w:rPr>
      <w:rFonts w:ascii="Times New Roman" w:hAnsi="Times New Roman" w:eastAsia="Times New Roman" w:cs="Times New Roman"/>
      <w:b/>
      <w:sz w:val="24"/>
      <w:szCs w:val="20"/>
      <w:lang w:val="it-IT" w:eastAsia="it-IT"/>
    </w:rPr>
  </w:style>
  <w:style w:type="character" w:styleId="TitoloCarattere">
    <w:name w:val="Titolo Carattere"/>
    <w:basedOn w:val="DefaultParagraphFont"/>
    <w:qFormat/>
    <w:rPr>
      <w:rFonts w:ascii="Times New Roman" w:hAnsi="Times New Roman" w:eastAsia="Times New Roman" w:cs="Times New Roman"/>
      <w:b/>
      <w:sz w:val="28"/>
      <w:szCs w:val="20"/>
      <w:u w:val="single"/>
      <w:lang w:val="it-IT" w:eastAsia="it-IT"/>
    </w:rPr>
  </w:style>
  <w:style w:type="character" w:styleId="CorpotestoCarattere">
    <w:name w:val="Corpo testo Carattere"/>
    <w:basedOn w:val="DefaultParagraphFont"/>
    <w:qFormat/>
    <w:rPr/>
  </w:style>
  <w:style w:type="character" w:styleId="ListLabel1">
    <w:name w:val="ListLabel 1"/>
    <w:qFormat/>
    <w:rPr>
      <w:rFonts w:ascii="Calibri" w:hAnsi="Calibri" w:eastAsia="Arial" w:cs="Arial"/>
      <w:b w:val="false"/>
      <w:sz w:val="22"/>
    </w:rPr>
  </w:style>
  <w:style w:type="character" w:styleId="ListLabel2">
    <w:name w:val="ListLabel 2"/>
    <w:qFormat/>
    <w:rPr>
      <w:rFonts w:eastAsia="Courier New" w:cs="Courier New"/>
    </w:rPr>
  </w:style>
  <w:style w:type="character" w:styleId="ListLabel3">
    <w:name w:val="ListLabel 3"/>
    <w:qFormat/>
    <w:rPr>
      <w:rFonts w:eastAsia="Noto Sans Symbols" w:cs="Noto Sans Symbols"/>
    </w:rPr>
  </w:style>
  <w:style w:type="character" w:styleId="ListLabel4">
    <w:name w:val="ListLabel 4"/>
    <w:qFormat/>
    <w:rPr>
      <w:rFonts w:eastAsia="Noto Sans Symbols" w:cs="Noto Sans Symbols"/>
    </w:rPr>
  </w:style>
  <w:style w:type="character" w:styleId="ListLabel5">
    <w:name w:val="ListLabel 5"/>
    <w:qFormat/>
    <w:rPr>
      <w:rFonts w:eastAsia="Courier New" w:cs="Courier New"/>
    </w:rPr>
  </w:style>
  <w:style w:type="character" w:styleId="ListLabel6">
    <w:name w:val="ListLabel 6"/>
    <w:qFormat/>
    <w:rPr>
      <w:rFonts w:eastAsia="Noto Sans Symbols" w:cs="Noto Sans Symbols"/>
    </w:rPr>
  </w:style>
  <w:style w:type="character" w:styleId="ListLabel7">
    <w:name w:val="ListLabel 7"/>
    <w:qFormat/>
    <w:rPr>
      <w:rFonts w:eastAsia="Noto Sans Symbols" w:cs="Noto Sans Symbols"/>
    </w:rPr>
  </w:style>
  <w:style w:type="character" w:styleId="ListLabel8">
    <w:name w:val="ListLabel 8"/>
    <w:qFormat/>
    <w:rPr>
      <w:rFonts w:eastAsia="Courier New" w:cs="Courier New"/>
    </w:rPr>
  </w:style>
  <w:style w:type="character" w:styleId="ListLabel9">
    <w:name w:val="ListLabel 9"/>
    <w:qFormat/>
    <w:rPr>
      <w:rFonts w:eastAsia="Noto Sans Symbols" w:cs="Noto Sans Symbol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Linux Libertine G" w:cs="Linux Libertine G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Normal1">
    <w:name w:val="LO-normal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principale">
    <w:name w:val="Title"/>
    <w:basedOn w:val="Normal"/>
    <w:next w:val="Normal"/>
    <w:qFormat/>
    <w:pPr>
      <w:widowControl/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u w:val="single"/>
      <w:lang w:val="it-IT" w:eastAsia="it-IT"/>
    </w:rPr>
  </w:style>
  <w:style w:type="paragraph" w:styleId="Intestazione">
    <w:name w:val="Header"/>
    <w:basedOn w:val="Normal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Default">
    <w:name w:val="Default"/>
    <w:qFormat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it-IT" w:eastAsia="zh-CN" w:bidi="hi-IN"/>
    </w:rPr>
  </w:style>
  <w:style w:type="paragraph" w:styleId="Testonormale1">
    <w:name w:val="Testo normale1"/>
    <w:basedOn w:val="Normal"/>
    <w:qFormat/>
    <w:pPr>
      <w:widowControl/>
      <w:suppressAutoHyphens w:val="true"/>
      <w:spacing w:lineRule="auto" w:line="240" w:before="0" w:after="0"/>
      <w:jc w:val="both"/>
    </w:pPr>
    <w:rPr>
      <w:rFonts w:ascii="Courier New" w:hAnsi="Courier New" w:eastAsia="Times New Roman" w:cs="Times New Roman"/>
      <w:sz w:val="20"/>
      <w:szCs w:val="20"/>
      <w:lang w:val="it-IT" w:eastAsia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paragraph" w:styleId="Sottotitolo">
    <w:name w:val="Subtitle"/>
    <w:basedOn w:val="Normal1"/>
    <w:next w:val="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LibreOffice/5.4.3.2$MacOSX_X86_64 LibreOffice_project/92a7159f7e4af62137622921e809f8546db437e5</Application>
  <Pages>4</Pages>
  <Words>398</Words>
  <Characters>2616</Characters>
  <CharactersWithSpaces>3042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2022-02-02T13:21:00Z</dcterms:created>
  <dc:creator>Silvia Baccin</dc:creator>
  <dc:description/>
  <dc:language>it-IT</dc:language>
  <cp:lastModifiedBy/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LastSaved">
    <vt:filetime>2016-12-03T00:00:00Z</vt:filetime>
  </property>
</Properties>
</file>